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选题</w:t>
      </w:r>
      <w:r>
        <w:rPr>
          <w:rFonts w:hint="eastAsia"/>
          <w:b/>
          <w:sz w:val="28"/>
          <w:szCs w:val="28"/>
          <w:lang w:val="en-US" w:eastAsia="zh-Hans"/>
        </w:rPr>
        <w:t>要求及范围</w:t>
      </w:r>
      <w:r>
        <w:rPr>
          <w:rFonts w:hint="eastAsia"/>
          <w:b/>
          <w:sz w:val="28"/>
          <w:szCs w:val="28"/>
        </w:rPr>
        <w:t>参考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u w:val="single"/>
        </w:rPr>
      </w:pPr>
      <w:r>
        <w:rPr>
          <w:rFonts w:ascii="宋体"/>
          <w:sz w:val="24"/>
        </w:rPr>
        <w:t>1.</w:t>
      </w:r>
      <w:r>
        <w:rPr>
          <w:rFonts w:hint="eastAsia" w:ascii="宋体" w:hAnsi="宋体"/>
          <w:sz w:val="24"/>
        </w:rPr>
        <w:t>案例素材</w:t>
      </w:r>
      <w:r>
        <w:rPr>
          <w:rFonts w:hint="eastAsia" w:ascii="宋体" w:hAnsi="宋体"/>
          <w:sz w:val="24"/>
          <w:lang w:eastAsia="zh-Hans"/>
        </w:rPr>
        <w:t>：</w:t>
      </w:r>
      <w:r>
        <w:rPr>
          <w:rFonts w:hint="eastAsia" w:ascii="宋体" w:hAnsi="宋体"/>
          <w:sz w:val="24"/>
          <w:lang w:val="en-US" w:eastAsia="zh-Hans"/>
        </w:rPr>
        <w:t>案例</w:t>
      </w:r>
      <w:r>
        <w:rPr>
          <w:rFonts w:hint="eastAsia" w:ascii="宋体" w:hAnsi="宋体"/>
          <w:sz w:val="24"/>
        </w:rPr>
        <w:t>以</w:t>
      </w:r>
      <w:r>
        <w:rPr>
          <w:rFonts w:hint="eastAsia"/>
          <w:b/>
          <w:bCs/>
          <w:sz w:val="24"/>
          <w:u w:val="single"/>
        </w:rPr>
        <w:t>对当前公共管理领域有借鉴作用，具备前沿性、新颖性、典型性的社会公共事件</w:t>
      </w:r>
      <w:r>
        <w:rPr>
          <w:rFonts w:hint="eastAsia" w:ascii="宋体" w:hAnsi="宋体"/>
          <w:sz w:val="24"/>
        </w:rPr>
        <w:t>配合团队调查的事实为宜，应体现典型事件明确的时间、地点、主体（人物、机构、组织等），事件的起因、经过、结果等要素。</w:t>
      </w:r>
      <w:r>
        <w:rPr>
          <w:rFonts w:ascii="宋体" w:hAnsi="宋体"/>
          <w:sz w:val="24"/>
          <w:u w:val="single"/>
        </w:rPr>
        <w:t>(</w:t>
      </w:r>
      <w:r>
        <w:rPr>
          <w:rFonts w:hint="eastAsia" w:ascii="宋体" w:hAnsi="宋体"/>
          <w:b/>
          <w:sz w:val="24"/>
          <w:u w:val="single"/>
        </w:rPr>
        <w:t>注：</w:t>
      </w:r>
      <w:r>
        <w:rPr>
          <w:rFonts w:hint="eastAsia" w:ascii="宋体" w:hAnsi="宋体"/>
          <w:sz w:val="24"/>
          <w:u w:val="single"/>
        </w:rPr>
        <w:t>相关信息及统计数据需真实，并有正规出处。）</w:t>
      </w:r>
    </w:p>
    <w:p>
      <w:pPr>
        <w:spacing w:line="360" w:lineRule="auto"/>
        <w:ind w:firstLine="465"/>
        <w:rPr>
          <w:rFonts w:ascii="宋体"/>
          <w:sz w:val="24"/>
        </w:rPr>
      </w:pPr>
      <w:r>
        <w:rPr>
          <w:rFonts w:hint="default"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所有参赛案例必须</w:t>
      </w:r>
      <w:r>
        <w:rPr>
          <w:rFonts w:hint="eastAsia" w:ascii="宋体" w:hAnsi="宋体"/>
          <w:b/>
          <w:sz w:val="24"/>
          <w:u w:val="single"/>
        </w:rPr>
        <w:t>原创</w:t>
      </w:r>
      <w:r>
        <w:rPr>
          <w:rFonts w:hint="eastAsia" w:ascii="宋体" w:hAnsi="宋体"/>
          <w:sz w:val="24"/>
        </w:rPr>
        <w:t>，遵循以下两个要求之一即可：</w:t>
      </w:r>
    </w:p>
    <w:p>
      <w:pPr>
        <w:spacing w:line="360" w:lineRule="auto"/>
        <w:ind w:firstLine="465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sz w:val="24"/>
        </w:rPr>
        <w:t>1</w:t>
      </w:r>
      <w:r>
        <w:rPr>
          <w:rFonts w:hint="eastAsia" w:ascii="宋体" w:hAnsi="宋体"/>
          <w:sz w:val="24"/>
        </w:rPr>
        <w:t>）可以进行实地调研，通过对相关机构、相关人员进行问卷或访谈调查的形式收集相关信息，并借助文字归纳、总结以展现特定案例；</w:t>
      </w:r>
    </w:p>
    <w:p>
      <w:pPr>
        <w:spacing w:line="360" w:lineRule="auto"/>
        <w:ind w:firstLine="465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sz w:val="24"/>
        </w:rPr>
        <w:t>2</w:t>
      </w:r>
      <w:r>
        <w:rPr>
          <w:rFonts w:hint="eastAsia" w:ascii="宋体" w:hAnsi="宋体"/>
          <w:sz w:val="24"/>
        </w:rPr>
        <w:t>）亦可通过查阅、归纳、观察、走访等，对一系列事件及相关文献资料进行“</w:t>
      </w:r>
      <w:r>
        <w:rPr>
          <w:rFonts w:hint="eastAsia" w:ascii="宋体" w:hAnsi="宋体"/>
          <w:b/>
          <w:sz w:val="24"/>
          <w:u w:val="single"/>
        </w:rPr>
        <w:t>二次加工</w:t>
      </w:r>
      <w:r>
        <w:rPr>
          <w:rFonts w:hint="eastAsia" w:ascii="宋体" w:hAnsi="宋体"/>
          <w:sz w:val="24"/>
        </w:rPr>
        <w:t>”，在寻找共性的基础上多元化、全面化地呈现某类特定案例。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b/>
          <w:sz w:val="24"/>
          <w:u w:val="single"/>
        </w:rPr>
        <w:t>注：</w:t>
      </w:r>
      <w:r>
        <w:rPr>
          <w:rFonts w:hint="eastAsia" w:ascii="宋体" w:hAnsi="宋体"/>
          <w:bCs/>
          <w:sz w:val="24"/>
          <w:u w:val="single"/>
        </w:rPr>
        <w:t>以上两种情况得到的</w:t>
      </w:r>
      <w:r>
        <w:rPr>
          <w:rFonts w:hint="eastAsia" w:ascii="宋体" w:hAnsi="宋体"/>
          <w:sz w:val="24"/>
          <w:u w:val="single"/>
        </w:rPr>
        <w:t>案例必须有典型代表性，能反映同类事件中共同的社会问题。）</w:t>
      </w:r>
    </w:p>
    <w:p>
      <w:pPr>
        <w:spacing w:line="360" w:lineRule="auto"/>
        <w:ind w:firstLine="540" w:firstLineChars="225"/>
        <w:rPr>
          <w:rFonts w:hint="eastAsia" w:ascii="宋体" w:hAnsi="宋体" w:eastAsia="宋体"/>
          <w:sz w:val="24"/>
          <w:u w:val="single"/>
          <w:lang w:val="en-US" w:eastAsia="zh-Hans"/>
        </w:rPr>
      </w:pPr>
      <w:r>
        <w:rPr>
          <w:sz w:val="24"/>
        </w:rPr>
        <w:t>3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  <w:u w:val="single"/>
          <w:lang w:val="en-US" w:eastAsia="zh-Hans"/>
        </w:rPr>
        <w:t>可参考选题范围：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1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（基本）公共卫生服务：健康档案管理、营养健康管理、心理健康管理、运动健康管理、慢性病管理（</w:t>
      </w:r>
      <w:r>
        <w:rPr>
          <w:rFonts w:hint="eastAsia"/>
          <w:sz w:val="24"/>
        </w:rPr>
        <w:t>高血压管理，糖尿病管理，社区营养管理，环境监控管理，社区诊断，政府、企业与非政府组织和慢病的防控管理）</w:t>
      </w:r>
      <w:r>
        <w:rPr>
          <w:rStyle w:val="5"/>
          <w:rFonts w:hint="eastAsia"/>
          <w:sz w:val="24"/>
        </w:rPr>
        <w:t>、老年健康服务体系、老年人健康管理、医养结合、精神病管理、健康教育、家庭签约制、双向转诊等；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default"/>
          <w:sz w:val="24"/>
          <w:lang w:eastAsia="zh-Hans"/>
        </w:rPr>
        <w:t>2</w:t>
      </w:r>
      <w:r>
        <w:rPr>
          <w:rFonts w:hint="eastAsia"/>
          <w:sz w:val="24"/>
          <w:lang w:eastAsia="zh-Hans"/>
        </w:rPr>
        <w:t>）</w:t>
      </w:r>
      <w:r>
        <w:rPr>
          <w:rFonts w:hint="eastAsia"/>
          <w:sz w:val="24"/>
        </w:rPr>
        <w:t>基本药物制度：采购、配送、补偿、遴选、二次议价、患者流向等；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3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突发公共（卫生）事件：应急响应与处置、应急预案、善后管理、信息化传播管理、监测、认知、恢复与重建、评估等；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Hans"/>
        </w:rPr>
        <w:t>（</w:t>
      </w:r>
      <w:r>
        <w:rPr>
          <w:rFonts w:hint="default"/>
          <w:sz w:val="24"/>
          <w:lang w:eastAsia="zh-Hans"/>
        </w:rPr>
        <w:t>4</w:t>
      </w:r>
      <w:r>
        <w:rPr>
          <w:rFonts w:hint="eastAsia"/>
          <w:sz w:val="24"/>
          <w:lang w:eastAsia="zh-Hans"/>
        </w:rPr>
        <w:t>）</w:t>
      </w:r>
      <w:r>
        <w:rPr>
          <w:rFonts w:hint="eastAsia"/>
          <w:sz w:val="24"/>
        </w:rPr>
        <w:t>食品安全管理：质量管理、风险管理、监督管理等；</w:t>
      </w:r>
    </w:p>
    <w:p>
      <w:pPr>
        <w:spacing w:line="360" w:lineRule="auto"/>
        <w:ind w:firstLine="480" w:firstLineChars="200"/>
        <w:rPr>
          <w:rStyle w:val="5"/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5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（基层）卫生人力资源：（基层）卫生人力资源现状（问题）、绩效工资、评价等政策对人力资源影响等；</w:t>
      </w:r>
    </w:p>
    <w:p>
      <w:pPr>
        <w:spacing w:line="360" w:lineRule="auto"/>
        <w:ind w:firstLine="480" w:firstLineChars="200"/>
        <w:rPr>
          <w:rStyle w:val="5"/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6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社会保障：社会保险管理（社会保险基金管理、社会保险参保人群管理、社会保险监督管理）、养老保险管理、医疗保险管理（城镇居民医保、新农合、医疗救助、大学生医保等的</w:t>
      </w:r>
      <w:r>
        <w:rPr>
          <w:rFonts w:hint="eastAsia"/>
          <w:sz w:val="24"/>
        </w:rPr>
        <w:t>支付方式、城乡一体化医保、道德风险、逆选择等</w:t>
      </w:r>
      <w:r>
        <w:rPr>
          <w:rStyle w:val="5"/>
          <w:rFonts w:hint="eastAsia"/>
          <w:sz w:val="24"/>
        </w:rPr>
        <w:t>）、公积金管理、失业保险管理、工伤保险管理、生育保险管理、社会保险信息化管理、三保合一、社会福利、社会救助、社会优抚等；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7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公立医院改革：</w:t>
      </w:r>
      <w:r>
        <w:rPr>
          <w:rFonts w:hint="eastAsia"/>
          <w:sz w:val="24"/>
        </w:rPr>
        <w:t>公立医院服务体系、</w:t>
      </w:r>
      <w:r>
        <w:rPr>
          <w:rStyle w:val="5"/>
          <w:rFonts w:hint="eastAsia"/>
          <w:sz w:val="24"/>
        </w:rPr>
        <w:t>绩效管理、</w:t>
      </w:r>
      <w:r>
        <w:rPr>
          <w:rFonts w:hint="eastAsia"/>
          <w:sz w:val="24"/>
        </w:rPr>
        <w:t>公益性</w:t>
      </w:r>
      <w:r>
        <w:rPr>
          <w:rStyle w:val="5"/>
          <w:rFonts w:hint="eastAsia"/>
          <w:sz w:val="24"/>
        </w:rPr>
        <w:t>、医药分开、</w:t>
      </w:r>
      <w:r>
        <w:rPr>
          <w:rFonts w:hint="eastAsia"/>
          <w:sz w:val="24"/>
        </w:rPr>
        <w:t>公立医院法人治理机制、</w:t>
      </w:r>
      <w:r>
        <w:rPr>
          <w:rStyle w:val="5"/>
          <w:rFonts w:hint="eastAsia"/>
          <w:sz w:val="24"/>
        </w:rPr>
        <w:t>监管机制、预算管理</w:t>
      </w:r>
      <w:r>
        <w:rPr>
          <w:rFonts w:hint="eastAsia"/>
          <w:sz w:val="24"/>
        </w:rPr>
        <w:t>产权、公立医院内部运行管理机制体制管理、建立住院医师规范化培训制度、多元化办医格局、管办分开、社会资本办医、分级诊疗、收费管理、</w:t>
      </w:r>
      <w:r>
        <w:rPr>
          <w:sz w:val="24"/>
        </w:rPr>
        <w:t>DRGs</w:t>
      </w:r>
      <w:r>
        <w:rPr>
          <w:rFonts w:hint="eastAsia"/>
          <w:sz w:val="24"/>
        </w:rPr>
        <w:t>、药品管理等；</w:t>
      </w:r>
    </w:p>
    <w:p>
      <w:pPr>
        <w:spacing w:line="360" w:lineRule="auto"/>
        <w:ind w:firstLine="480" w:firstLineChars="200"/>
        <w:rPr>
          <w:rStyle w:val="5"/>
          <w:sz w:val="24"/>
        </w:rPr>
      </w:pPr>
      <w:r>
        <w:rPr>
          <w:rStyle w:val="5"/>
          <w:rFonts w:hint="eastAsia"/>
          <w:sz w:val="24"/>
          <w:lang w:eastAsia="zh-Hans"/>
        </w:rPr>
        <w:t>（</w:t>
      </w:r>
      <w:r>
        <w:rPr>
          <w:rStyle w:val="5"/>
          <w:rFonts w:hint="default"/>
          <w:sz w:val="24"/>
          <w:lang w:eastAsia="zh-Hans"/>
        </w:rPr>
        <w:t>8</w:t>
      </w:r>
      <w:r>
        <w:rPr>
          <w:rStyle w:val="5"/>
          <w:rFonts w:hint="eastAsia"/>
          <w:sz w:val="24"/>
          <w:lang w:eastAsia="zh-Hans"/>
        </w:rPr>
        <w:t>）</w:t>
      </w:r>
      <w:r>
        <w:rPr>
          <w:rStyle w:val="5"/>
          <w:rFonts w:hint="eastAsia"/>
          <w:sz w:val="24"/>
        </w:rPr>
        <w:t>其他管理类社会公共事务时事热点：诸如政府公共事务管理、市政管理、优化资源配置管理、社会资本办医探索、民政管理、行业（非营利性组织、民间组织协会）管理、文化产业公共事务管理。包含行政管理中的人事行政、行政预算、行政监督、行政组织、行政领导、行政信息沟通与协调、行政权力、行政体制改革管理、绩效管理、后勤管理等。</w:t>
      </w:r>
    </w:p>
    <w:p>
      <w:pPr>
        <w:spacing w:line="360" w:lineRule="auto"/>
        <w:rPr>
          <w:rStyle w:val="5"/>
          <w:szCs w:val="21"/>
        </w:rPr>
      </w:pPr>
    </w:p>
    <w:p>
      <w:pPr>
        <w:spacing w:line="360" w:lineRule="auto"/>
        <w:rPr>
          <w:rStyle w:val="5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1780534F"/>
    <w:rsid w:val="1BBF374A"/>
    <w:rsid w:val="69F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506</Characters>
  <Lines>0</Lines>
  <Paragraphs>0</Paragraphs>
  <TotalTime>0</TotalTime>
  <ScaleCrop>false</ScaleCrop>
  <LinksUpToDate>false</LinksUpToDate>
  <CharactersWithSpaces>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359436F3EA544DA99E74754142B37A73</vt:lpwstr>
  </property>
</Properties>
</file>